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E" w:rsidRDefault="003C6695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Cs/>
          <w:iCs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bCs/>
          <w:iCs/>
          <w:color w:val="222222"/>
          <w:sz w:val="24"/>
          <w:szCs w:val="24"/>
          <w:lang w:eastAsia="hu-HU"/>
        </w:rPr>
        <w:t xml:space="preserve"> </w:t>
      </w:r>
    </w:p>
    <w:p w:rsidR="003C6695" w:rsidRPr="00F83B3E" w:rsidRDefault="003C6695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Cs/>
          <w:i/>
          <w:iCs/>
          <w:color w:val="222222"/>
          <w:sz w:val="28"/>
          <w:szCs w:val="28"/>
          <w:lang w:eastAsia="hu-HU"/>
        </w:rPr>
      </w:pPr>
    </w:p>
    <w:p w:rsidR="00F83B3E" w:rsidRDefault="00F83B3E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Cs/>
          <w:iCs/>
          <w:color w:val="222222"/>
          <w:sz w:val="24"/>
          <w:szCs w:val="24"/>
          <w:lang w:eastAsia="hu-HU"/>
        </w:rPr>
      </w:pPr>
    </w:p>
    <w:p w:rsidR="00F83B3E" w:rsidRDefault="00F83B3E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Cs/>
          <w:iCs/>
          <w:color w:val="222222"/>
          <w:sz w:val="24"/>
          <w:szCs w:val="24"/>
          <w:lang w:eastAsia="hu-HU"/>
        </w:rPr>
      </w:pPr>
    </w:p>
    <w:p w:rsidR="003C6695" w:rsidRPr="003C6695" w:rsidRDefault="003C6695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Cs/>
          <w:iCs/>
          <w:color w:val="222222"/>
          <w:sz w:val="24"/>
          <w:szCs w:val="24"/>
          <w:lang w:eastAsia="hu-HU"/>
        </w:rPr>
      </w:pPr>
    </w:p>
    <w:p w:rsidR="005416BA" w:rsidRDefault="005416BA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 w:rsidRPr="005416B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Az egyszerűsített </w:t>
      </w:r>
      <w:proofErr w:type="gramStart"/>
      <w:r w:rsidRPr="005416B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beszámoló </w:t>
      </w:r>
      <w:r w:rsidR="008C7954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a</w:t>
      </w:r>
      <w:proofErr w:type="gramEnd"/>
      <w:r w:rsidR="008C7954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   </w:t>
      </w:r>
      <w:r w:rsidR="00EF5E67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201</w:t>
      </w:r>
      <w:r w:rsidR="006653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6</w:t>
      </w:r>
      <w:r w:rsidR="008C7954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- évről</w:t>
      </w:r>
      <w:r w:rsidR="003C6695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</w:t>
      </w:r>
    </w:p>
    <w:p w:rsidR="003C6695" w:rsidRDefault="003C6695" w:rsidP="003C6695">
      <w:pPr>
        <w:shd w:val="clear" w:color="auto" w:fill="FFFFFF"/>
        <w:spacing w:after="0" w:line="295" w:lineRule="atLeast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3C6695" w:rsidRPr="005416BA" w:rsidRDefault="008F430D" w:rsidP="005416BA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                                                                            Az adatok ezer forintban</w:t>
      </w:r>
    </w:p>
    <w:tbl>
      <w:tblPr>
        <w:tblW w:w="8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34"/>
        <w:gridCol w:w="5226"/>
        <w:gridCol w:w="2126"/>
      </w:tblGrid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ESZKÖZÖK (AKTÍVÁK)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Befektetett eszközök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Immateriális javak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Tárgyi eszközök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Befektetett pénzügyi eszközök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Forgóeszközök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Készletek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Követelések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Értékpapírok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Pénzeszközök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665360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11</w:t>
            </w: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Eszközök összesen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8C5C92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FORRÁSOK (PASSZÍVÁK)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8C5C92" w:rsidTr="00C1760F">
        <w:trPr>
          <w:trHeight w:val="115"/>
        </w:trPr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Saját tőke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8C5C92">
        <w:trPr>
          <w:trHeight w:val="347"/>
        </w:trPr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Induló tőke/Jegyzett tőke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8C5C92" w:rsidP="00C1760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  <w:r w:rsidR="006653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7888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Tőkeváltozás/Eredmény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C1760F" w:rsidP="0050076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  <w:r w:rsidR="006653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273</w:t>
            </w:r>
          </w:p>
        </w:tc>
      </w:tr>
      <w:tr w:rsidR="005416BA" w:rsidRPr="005416BA" w:rsidTr="008C5C92">
        <w:trPr>
          <w:trHeight w:val="429"/>
        </w:trPr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Lekötött tartalék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Tárgyévi eredmény alaptevékenységből (közhasznú tevékenységből)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8C5C92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8C5C92">
        <w:trPr>
          <w:trHeight w:val="558"/>
        </w:trPr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Tárgyévi eredmény vállalkozási tevékenységből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8C5C92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Tartalék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Céltartalékok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6C6C1D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F.</w:t>
            </w:r>
          </w:p>
        </w:tc>
        <w:tc>
          <w:tcPr>
            <w:tcW w:w="56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Kötelezettségek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Hosszú lejáratú kötelezettségek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F7584F">
        <w:trPr>
          <w:trHeight w:val="269"/>
        </w:trPr>
        <w:tc>
          <w:tcPr>
            <w:tcW w:w="3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52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Rövid lejáratú kötelezettségek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F7584F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416BA" w:rsidRPr="005416BA" w:rsidTr="003C6695">
        <w:tc>
          <w:tcPr>
            <w:tcW w:w="6014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5416BA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Források összesen</w:t>
            </w:r>
          </w:p>
        </w:tc>
        <w:tc>
          <w:tcPr>
            <w:tcW w:w="21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6BA" w:rsidRPr="005416BA" w:rsidRDefault="008C5C92" w:rsidP="005416B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</w:tbl>
    <w:p w:rsidR="003C6695" w:rsidRDefault="003C6695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3E0FFC" w:rsidRDefault="003E0FFC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A16DC3" w:rsidRDefault="00A16DC3" w:rsidP="005416BA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791A82" w:rsidRDefault="005416BA" w:rsidP="00791A8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 w:rsidRPr="005416B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Az egyszerűsített beszámoló eredmény</w:t>
      </w:r>
      <w:r w:rsidR="000745F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</w:t>
      </w:r>
      <w:r w:rsidRPr="005416B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levezetés</w:t>
      </w:r>
      <w:r w:rsidR="003C6695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e </w:t>
      </w:r>
    </w:p>
    <w:p w:rsidR="00B73BC6" w:rsidRDefault="00B73BC6" w:rsidP="00791A8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B73BC6" w:rsidRDefault="00B73BC6" w:rsidP="00791A8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791A82" w:rsidRDefault="00791A82" w:rsidP="00791A8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791A82" w:rsidRDefault="00791A82" w:rsidP="00791A82">
      <w:pPr>
        <w:shd w:val="clear" w:color="auto" w:fill="FFFFFF"/>
        <w:spacing w:after="0" w:line="240" w:lineRule="auto"/>
        <w:ind w:firstLine="240"/>
        <w:jc w:val="right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r w:rsidRPr="005416B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Alaptevékenység Vállalkozási tevékenység Összesen</w:t>
      </w:r>
    </w:p>
    <w:p w:rsidR="00C77EEE" w:rsidRPr="005416BA" w:rsidRDefault="00C77EEE" w:rsidP="00C77EEE">
      <w:pPr>
        <w:shd w:val="clear" w:color="auto" w:fill="FFFFFF"/>
        <w:spacing w:after="0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                                                                                                    Az adatok ezer forintban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2307"/>
      </w:tblGrid>
      <w:tr w:rsidR="00791A82" w:rsidTr="001A702D">
        <w:trPr>
          <w:trHeight w:val="294"/>
        </w:trPr>
        <w:tc>
          <w:tcPr>
            <w:tcW w:w="6513" w:type="dxa"/>
          </w:tcPr>
          <w:p w:rsidR="00791A82" w:rsidRPr="005416BA" w:rsidRDefault="00791A82" w:rsidP="00791A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A. Végleges pénzbevételek, elszámolt bevételek (I+II)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Default="00665360" w:rsidP="008425E3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3327</w:t>
            </w:r>
          </w:p>
        </w:tc>
      </w:tr>
      <w:tr w:rsidR="00791A82" w:rsidTr="001A702D">
        <w:trPr>
          <w:trHeight w:val="525"/>
        </w:trPr>
        <w:tc>
          <w:tcPr>
            <w:tcW w:w="6513" w:type="dxa"/>
          </w:tcPr>
          <w:p w:rsidR="00791A82" w:rsidRDefault="00791A82" w:rsidP="00791A82">
            <w:pPr>
              <w:shd w:val="clear" w:color="auto" w:fill="FFFFFF"/>
              <w:spacing w:after="0" w:line="295" w:lineRule="atLeast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I. Pénzügyileg rendezett bevételek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307" w:type="dxa"/>
          </w:tcPr>
          <w:p w:rsidR="00791A82" w:rsidRDefault="00665360" w:rsidP="008425E3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3327</w:t>
            </w:r>
          </w:p>
        </w:tc>
      </w:tr>
      <w:tr w:rsidR="00791A82" w:rsidTr="001A702D">
        <w:trPr>
          <w:trHeight w:val="423"/>
        </w:trPr>
        <w:tc>
          <w:tcPr>
            <w:tcW w:w="6513" w:type="dxa"/>
          </w:tcPr>
          <w:p w:rsidR="00791A82" w:rsidRPr="005416BA" w:rsidRDefault="00791A82" w:rsidP="00791A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 tagdíj, alapítótól kapott befizetés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Pr="00FB7F04" w:rsidRDefault="00665360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425</w:t>
            </w:r>
          </w:p>
        </w:tc>
      </w:tr>
      <w:tr w:rsidR="00791A82" w:rsidTr="00FB7F04">
        <w:trPr>
          <w:trHeight w:val="85"/>
        </w:trPr>
        <w:tc>
          <w:tcPr>
            <w:tcW w:w="6513" w:type="dxa"/>
          </w:tcPr>
          <w:p w:rsidR="00791A82" w:rsidRPr="00FB7F04" w:rsidRDefault="00791A82" w:rsidP="00FB7F04">
            <w:pPr>
              <w:shd w:val="clear" w:color="auto" w:fill="FFFFFF"/>
              <w:spacing w:after="0" w:line="295" w:lineRule="atLeast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</w:tr>
      <w:tr w:rsidR="00791A82" w:rsidTr="001A702D">
        <w:trPr>
          <w:trHeight w:val="420"/>
        </w:trPr>
        <w:tc>
          <w:tcPr>
            <w:tcW w:w="6513" w:type="dxa"/>
          </w:tcPr>
          <w:p w:rsidR="00791A82" w:rsidRPr="005416BA" w:rsidRDefault="00791A82" w:rsidP="00791A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 támogatások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Pr="00FB7F04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lang w:eastAsia="hu-HU"/>
              </w:rPr>
            </w:pPr>
          </w:p>
        </w:tc>
      </w:tr>
      <w:tr w:rsidR="00791A82" w:rsidTr="001A702D">
        <w:trPr>
          <w:trHeight w:val="435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 egyéb bevételek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Default="00665360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2902</w:t>
            </w:r>
          </w:p>
          <w:p w:rsidR="008425E3" w:rsidRPr="00FB7F04" w:rsidRDefault="008425E3" w:rsidP="008425E3">
            <w:pPr>
              <w:shd w:val="clear" w:color="auto" w:fill="FFFFFF"/>
              <w:spacing w:after="0" w:line="295" w:lineRule="atLeast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</w:p>
        </w:tc>
      </w:tr>
      <w:tr w:rsidR="00791A82" w:rsidTr="001A702D">
        <w:trPr>
          <w:trHeight w:val="435"/>
        </w:trPr>
        <w:tc>
          <w:tcPr>
            <w:tcW w:w="6513" w:type="dxa"/>
          </w:tcPr>
          <w:p w:rsidR="00791A82" w:rsidRDefault="001A702D" w:rsidP="00FB7F04">
            <w:pPr>
              <w:shd w:val="clear" w:color="auto" w:fill="FFFFFF"/>
              <w:tabs>
                <w:tab w:val="left" w:pos="1159"/>
                <w:tab w:val="center" w:pos="3186"/>
              </w:tabs>
              <w:spacing w:after="0" w:line="295" w:lineRule="atLeast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II. Pénzbevételt nem jelentő bevételek</w:t>
            </w:r>
          </w:p>
        </w:tc>
        <w:tc>
          <w:tcPr>
            <w:tcW w:w="2307" w:type="dxa"/>
          </w:tcPr>
          <w:p w:rsidR="00791A82" w:rsidRPr="00FB7F04" w:rsidRDefault="00FB7F04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lang w:eastAsia="hu-HU"/>
              </w:rPr>
              <w:t>0</w:t>
            </w:r>
          </w:p>
        </w:tc>
      </w:tr>
      <w:tr w:rsidR="00791A82" w:rsidTr="001A702D">
        <w:trPr>
          <w:trHeight w:val="461"/>
        </w:trPr>
        <w:tc>
          <w:tcPr>
            <w:tcW w:w="6513" w:type="dxa"/>
          </w:tcPr>
          <w:p w:rsidR="00791A82" w:rsidRDefault="001A702D" w:rsidP="001A702D">
            <w:pPr>
              <w:shd w:val="clear" w:color="auto" w:fill="FFFFFF"/>
              <w:spacing w:after="0" w:line="295" w:lineRule="atLeast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B. Végleges pénzkiadások, elszámolt ráfordítások (III+IV+V+VI)</w:t>
            </w:r>
          </w:p>
        </w:tc>
        <w:tc>
          <w:tcPr>
            <w:tcW w:w="2307" w:type="dxa"/>
          </w:tcPr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</w:tr>
      <w:tr w:rsidR="00791A82" w:rsidTr="001A702D">
        <w:trPr>
          <w:trHeight w:val="540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III. Ráfordításként érvényesíthető kiadások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Default="00665360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3587</w:t>
            </w:r>
          </w:p>
        </w:tc>
      </w:tr>
      <w:tr w:rsidR="00791A82" w:rsidTr="001A702D">
        <w:trPr>
          <w:trHeight w:val="540"/>
        </w:trPr>
        <w:tc>
          <w:tcPr>
            <w:tcW w:w="6513" w:type="dxa"/>
          </w:tcPr>
          <w:p w:rsidR="00791A82" w:rsidRDefault="001A702D" w:rsidP="001A702D">
            <w:pPr>
              <w:shd w:val="clear" w:color="auto" w:fill="FFFFFF"/>
              <w:spacing w:after="0" w:line="295" w:lineRule="atLeast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IV. Ráfordítást jelentő eszközváltozáso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2307" w:type="dxa"/>
          </w:tcPr>
          <w:p w:rsidR="00791A82" w:rsidRPr="00C77EEE" w:rsidRDefault="00C77EEE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791A82" w:rsidTr="001A702D">
        <w:trPr>
          <w:trHeight w:val="435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V. Ráfordítást jelentő elszámolások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Pr="00C77EEE" w:rsidRDefault="00C77EEE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791A82" w:rsidTr="001A702D">
        <w:trPr>
          <w:trHeight w:val="375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VI. Ráfordításként nem érvényesíthető kiadások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Pr="00C77EEE" w:rsidRDefault="00C77EEE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791A82" w:rsidTr="001A702D">
        <w:trPr>
          <w:trHeight w:val="500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C. Tárgyévi pénzügyi eredmény (I-III-VI)</w:t>
            </w:r>
          </w:p>
          <w:p w:rsidR="00791A82" w:rsidRDefault="00791A82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307" w:type="dxa"/>
          </w:tcPr>
          <w:p w:rsidR="00791A82" w:rsidRDefault="00C1760F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-</w:t>
            </w:r>
            <w:r w:rsidR="00665360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260</w:t>
            </w:r>
          </w:p>
        </w:tc>
      </w:tr>
      <w:tr w:rsidR="001A702D" w:rsidTr="001A702D">
        <w:trPr>
          <w:trHeight w:val="480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D. Nem pénzben realizált eredmény [II-(IV+V)]</w:t>
            </w:r>
          </w:p>
          <w:p w:rsidR="001A702D" w:rsidRPr="005416BA" w:rsidRDefault="001A702D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</w:tcPr>
          <w:p w:rsidR="001A702D" w:rsidRPr="0003235B" w:rsidRDefault="0003235B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1A702D" w:rsidTr="001A702D">
        <w:trPr>
          <w:trHeight w:val="435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E. Adózás előtti eredmény (I+II)-(III+IV+V)</w:t>
            </w:r>
          </w:p>
          <w:p w:rsidR="001A702D" w:rsidRPr="005416BA" w:rsidRDefault="001A702D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</w:tcPr>
          <w:p w:rsidR="001A702D" w:rsidRDefault="00C1760F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-</w:t>
            </w:r>
            <w:r w:rsidR="00665360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260</w:t>
            </w:r>
          </w:p>
        </w:tc>
      </w:tr>
      <w:tr w:rsidR="001A702D" w:rsidTr="001A702D">
        <w:trPr>
          <w:trHeight w:val="405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F. Fizetendő társasági adó</w:t>
            </w:r>
          </w:p>
          <w:p w:rsidR="001A702D" w:rsidRPr="005416BA" w:rsidRDefault="001A702D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</w:tcPr>
          <w:p w:rsidR="001A702D" w:rsidRDefault="0003235B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1A702D" w:rsidTr="001A702D">
        <w:trPr>
          <w:trHeight w:val="556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G. Adózott eredmény (E-F)</w:t>
            </w:r>
          </w:p>
          <w:p w:rsidR="001A702D" w:rsidRPr="005416BA" w:rsidRDefault="001A702D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</w:tcPr>
          <w:p w:rsidR="001A702D" w:rsidRDefault="0003235B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1A702D" w:rsidTr="001A702D">
        <w:trPr>
          <w:trHeight w:val="420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H. Jóváhagyott osztalék</w:t>
            </w:r>
          </w:p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</w:tcPr>
          <w:p w:rsidR="001A702D" w:rsidRDefault="0003235B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1A702D" w:rsidTr="001A702D">
        <w:trPr>
          <w:trHeight w:val="360"/>
        </w:trPr>
        <w:tc>
          <w:tcPr>
            <w:tcW w:w="6513" w:type="dxa"/>
          </w:tcPr>
          <w:p w:rsidR="001A702D" w:rsidRPr="005416BA" w:rsidRDefault="001A702D" w:rsidP="001A702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416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I. Tárgyévi eredmény (G-H)</w:t>
            </w:r>
          </w:p>
        </w:tc>
        <w:tc>
          <w:tcPr>
            <w:tcW w:w="2307" w:type="dxa"/>
          </w:tcPr>
          <w:p w:rsidR="001A702D" w:rsidRDefault="0003235B" w:rsidP="00791A82">
            <w:pPr>
              <w:shd w:val="clear" w:color="auto" w:fill="FFFFFF"/>
              <w:spacing w:after="0" w:line="295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</w:tbl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E174A7" w:rsidRDefault="00E174A7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E174A7" w:rsidRDefault="00E174A7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E174A7" w:rsidRDefault="00E174A7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  <w:r w:rsidRPr="005416BA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Tájékoztató adatok</w:t>
      </w: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</w:p>
    <w:p w:rsidR="00303CDC" w:rsidRDefault="00303CDC" w:rsidP="00303CD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303CD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Központi költségvetési támogatás – </w:t>
      </w:r>
      <w:r w:rsidRPr="00303CDC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nincs.</w:t>
      </w:r>
    </w:p>
    <w:p w:rsidR="00303CDC" w:rsidRPr="00303CDC" w:rsidRDefault="00303CDC" w:rsidP="00303CDC">
      <w:pPr>
        <w:pStyle w:val="Listaszerbekezds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303CDC" w:rsidRDefault="00303CDC" w:rsidP="00303CDC">
      <w:pPr>
        <w:pStyle w:val="Listaszerbekezds"/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303CD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Helyi önkormányzati költségvetési támogatás – </w:t>
      </w:r>
      <w:r w:rsidRPr="00303CDC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nincs.</w:t>
      </w:r>
    </w:p>
    <w:p w:rsidR="00303CDC" w:rsidRDefault="00303CDC" w:rsidP="00303CDC">
      <w:pPr>
        <w:pStyle w:val="Listaszerbekezds"/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303CDC" w:rsidRPr="00303CDC" w:rsidRDefault="00303CDC" w:rsidP="00303CDC">
      <w:pPr>
        <w:pStyle w:val="Listaszerbekezds"/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03CD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Európai Unió strukturális alapjaiból, illetve a Kohéziós Alapból nyújtott támogatás – </w:t>
      </w:r>
      <w:r w:rsidRPr="00303CDC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nincs.</w:t>
      </w:r>
    </w:p>
    <w:p w:rsidR="00303CDC" w:rsidRPr="00303CDC" w:rsidRDefault="00303CDC" w:rsidP="00303CDC">
      <w:p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303CDC" w:rsidRPr="00150765" w:rsidRDefault="00303CDC" w:rsidP="00303CDC">
      <w:pPr>
        <w:pStyle w:val="Listaszerbekezds"/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Normatív támogatás </w:t>
      </w:r>
      <w:r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nincs.</w:t>
      </w:r>
    </w:p>
    <w:p w:rsidR="00150765" w:rsidRPr="00150765" w:rsidRDefault="00150765" w:rsidP="00150765">
      <w:pPr>
        <w:pStyle w:val="Listaszerbekezds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150765" w:rsidRPr="00150765" w:rsidRDefault="00303CDC" w:rsidP="00150765">
      <w:pPr>
        <w:pStyle w:val="Listaszerbekezds"/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személyi </w:t>
      </w:r>
      <w:proofErr w:type="spellStart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jövedelamadó</w:t>
      </w:r>
      <w:proofErr w:type="spellEnd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meghatározott részének adózó rendelkezése szerinti felhasználásáról </w:t>
      </w:r>
    </w:p>
    <w:p w:rsidR="00150765" w:rsidRDefault="00303CDC" w:rsidP="00150765">
      <w:pPr>
        <w:pStyle w:val="Listaszerbekezds"/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proofErr w:type="gramStart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szóló</w:t>
      </w:r>
      <w:proofErr w:type="gramEnd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1996. évi CXXVI. törvény alapján kiutalt összeg </w:t>
      </w:r>
      <w:r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nincs.</w:t>
      </w:r>
    </w:p>
    <w:p w:rsidR="00150765" w:rsidRPr="00150765" w:rsidRDefault="00150765" w:rsidP="00150765">
      <w:p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5416BA" w:rsidRPr="00303CDC" w:rsidRDefault="005416BA" w:rsidP="00150765">
      <w:pPr>
        <w:pStyle w:val="Listaszerbekezds"/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303CD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Közszolgáltatási bevétel</w:t>
      </w:r>
      <w:r w:rsidR="004B1A95" w:rsidRPr="00303CD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4B1A95" w:rsidRPr="00303CDC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nincs.</w:t>
      </w:r>
    </w:p>
    <w:p w:rsidR="00303CDC" w:rsidRPr="00303CDC" w:rsidRDefault="00303CDC" w:rsidP="00303C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665360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</w:t>
      </w:r>
      <w:r w:rsidR="005416BA" w:rsidRPr="005416B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G.</w:t>
      </w:r>
      <w:r w:rsid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6653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</w:t>
      </w:r>
      <w:r w:rsidR="005416BA" w:rsidRPr="005416B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Végleges pénzbevételekből, elszámolt bevételekből a közhasznú tevékenység bevétele</w:t>
      </w:r>
      <w:r w:rsidR="004B1A9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4B1A95" w:rsidRPr="004B1A9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– </w:t>
      </w:r>
    </w:p>
    <w:p w:rsidR="005416BA" w:rsidRDefault="00665360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                 </w:t>
      </w:r>
      <w:proofErr w:type="gramStart"/>
      <w:r w:rsidR="004B1A95" w:rsidRPr="004B1A9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nincs</w:t>
      </w:r>
      <w:proofErr w:type="gramEnd"/>
      <w:r w:rsidR="004B1A95" w:rsidRPr="004B1A9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</w:p>
    <w:p w:rsidR="00303CDC" w:rsidRPr="005416BA" w:rsidRDefault="00303CDC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150765" w:rsidRPr="00E72144" w:rsidRDefault="00E72144" w:rsidP="00E72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H. </w:t>
      </w:r>
      <w:r w:rsidR="00150765" w:rsidRP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5416BA" w:rsidRP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Végleges pénzkiadásokból, elszámolt ráfordításokból a közhasznú tevékenység érdekében</w:t>
      </w:r>
      <w:r w:rsidR="00150765" w:rsidRP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5416BA" w:rsidRP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150765" w:rsidRPr="00E7214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 </w:t>
      </w:r>
    </w:p>
    <w:p w:rsidR="005416BA" w:rsidRPr="00150765" w:rsidRDefault="005416BA" w:rsidP="00150765">
      <w:pPr>
        <w:pStyle w:val="Listaszerbekezds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felmerült</w:t>
      </w:r>
      <w:proofErr w:type="gramEnd"/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pénzkiadás, ráfordítás</w:t>
      </w:r>
      <w:r w:rsidR="004B1A95"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4B1A95"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nincs.</w:t>
      </w:r>
    </w:p>
    <w:p w:rsidR="00150765" w:rsidRDefault="00150765" w:rsidP="005416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5416BA" w:rsidRPr="00150765" w:rsidRDefault="005416BA" w:rsidP="00150765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Végleges pénzkiadásokból, elszámolt ráfordításokból a személyi jellegű ráfordítás</w:t>
      </w:r>
      <w:r w:rsidR="004B1A95"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4B1A95"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nincs.</w:t>
      </w:r>
      <w:r w:rsidR="00150765"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     </w:t>
      </w:r>
      <w:r w:rsidR="00150765"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</w:t>
      </w:r>
      <w:r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vezető tisztségviselők juttatásai</w:t>
      </w:r>
      <w:r w:rsidR="00150765"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150765" w:rsidRPr="00150765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– nincs</w:t>
      </w:r>
      <w:r w:rsidR="00150765" w:rsidRPr="0015076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.)</w:t>
      </w:r>
    </w:p>
    <w:p w:rsidR="0080506A" w:rsidRDefault="0080506A"/>
    <w:p w:rsidR="0019188E" w:rsidRDefault="00272023">
      <w:r>
        <w:t xml:space="preserve">  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1282535" cy="391886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irb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53" cy="3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8E" w:rsidRDefault="0019188E">
      <w:r>
        <w:t>Az egyszerűsített beszámolót készítette</w:t>
      </w:r>
      <w:proofErr w:type="gramStart"/>
      <w:r>
        <w:t>:</w:t>
      </w:r>
      <w:r w:rsidR="00272023">
        <w:t xml:space="preserve">     </w:t>
      </w:r>
      <w:r w:rsidR="00D953F5">
        <w:t xml:space="preserve">   </w:t>
      </w:r>
      <w:r w:rsidR="00272023">
        <w:t xml:space="preserve"> </w:t>
      </w:r>
      <w:r>
        <w:t xml:space="preserve">  Benke</w:t>
      </w:r>
      <w:proofErr w:type="gramEnd"/>
      <w:r>
        <w:t xml:space="preserve"> Kálmán</w:t>
      </w:r>
    </w:p>
    <w:p w:rsidR="0019188E" w:rsidRPr="0019188E" w:rsidRDefault="0019188E" w:rsidP="0019188E">
      <w:pPr>
        <w:pStyle w:val="Cmsor1"/>
        <w:shd w:val="clear" w:color="auto" w:fill="FFFFFF"/>
        <w:spacing w:before="0"/>
        <w:rPr>
          <w:rFonts w:ascii="Tahoma" w:hAnsi="Tahoma" w:cs="Tahoma"/>
          <w:b w:val="0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b w:val="0"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b w:val="0"/>
          <w:color w:val="222222"/>
          <w:sz w:val="20"/>
          <w:szCs w:val="20"/>
        </w:rPr>
        <w:t xml:space="preserve"> </w:t>
      </w:r>
      <w:r w:rsidRPr="0019188E">
        <w:rPr>
          <w:rFonts w:ascii="Tahoma" w:hAnsi="Tahoma" w:cs="Tahoma"/>
          <w:color w:val="222222"/>
          <w:sz w:val="20"/>
          <w:szCs w:val="20"/>
        </w:rPr>
        <w:t>224/2000. (XII. 19.) Korm. rendelet</w:t>
      </w:r>
    </w:p>
    <w:p w:rsidR="0019188E" w:rsidRPr="0019188E" w:rsidRDefault="0019188E" w:rsidP="0019188E">
      <w:pPr>
        <w:pStyle w:val="Cmsor1"/>
        <w:shd w:val="clear" w:color="auto" w:fill="FFFFFF"/>
        <w:spacing w:before="0"/>
        <w:rPr>
          <w:rFonts w:ascii="Tahoma" w:hAnsi="Tahoma" w:cs="Tahoma"/>
          <w:b w:val="0"/>
          <w:color w:val="222222"/>
          <w:sz w:val="20"/>
          <w:szCs w:val="20"/>
        </w:rPr>
      </w:pPr>
      <w:proofErr w:type="gramStart"/>
      <w:r w:rsidRPr="0019188E">
        <w:rPr>
          <w:rFonts w:ascii="Tahoma" w:hAnsi="Tahoma" w:cs="Tahoma"/>
          <w:b w:val="0"/>
          <w:color w:val="222222"/>
          <w:sz w:val="20"/>
          <w:szCs w:val="20"/>
        </w:rPr>
        <w:t>a</w:t>
      </w:r>
      <w:proofErr w:type="gramEnd"/>
      <w:r w:rsidRPr="0019188E">
        <w:rPr>
          <w:rFonts w:ascii="Tahoma" w:hAnsi="Tahoma" w:cs="Tahoma"/>
          <w:b w:val="0"/>
          <w:color w:val="222222"/>
          <w:sz w:val="20"/>
          <w:szCs w:val="20"/>
        </w:rPr>
        <w:t xml:space="preserve"> számviteli törvény szerinti egyes egyéb szervezetek beszámoló</w:t>
      </w:r>
      <w:r>
        <w:rPr>
          <w:rFonts w:ascii="Tahoma" w:hAnsi="Tahoma" w:cs="Tahoma"/>
          <w:b w:val="0"/>
          <w:color w:val="222222"/>
          <w:sz w:val="20"/>
          <w:szCs w:val="20"/>
        </w:rPr>
        <w:t xml:space="preserve"> </w:t>
      </w:r>
      <w:r w:rsidRPr="0019188E">
        <w:rPr>
          <w:rFonts w:ascii="Tahoma" w:hAnsi="Tahoma" w:cs="Tahoma"/>
          <w:b w:val="0"/>
          <w:color w:val="222222"/>
          <w:sz w:val="20"/>
          <w:szCs w:val="20"/>
        </w:rPr>
        <w:t>készítési és könyvvezetési kötelezettségének sajátosságairól</w:t>
      </w:r>
      <w:r>
        <w:rPr>
          <w:rFonts w:ascii="Tahoma" w:hAnsi="Tahoma" w:cs="Tahoma"/>
          <w:b w:val="0"/>
          <w:color w:val="222222"/>
          <w:sz w:val="20"/>
          <w:szCs w:val="20"/>
        </w:rPr>
        <w:t xml:space="preserve"> - alapján.</w:t>
      </w:r>
    </w:p>
    <w:p w:rsidR="0019188E" w:rsidRDefault="0019188E"/>
    <w:p w:rsidR="0019188E" w:rsidRDefault="0019188E">
      <w:r>
        <w:t>Kelt:Szentendrén, 201</w:t>
      </w:r>
      <w:r w:rsidR="00665360">
        <w:t>7</w:t>
      </w:r>
      <w:r>
        <w:t>-</w:t>
      </w:r>
      <w:r w:rsidR="00665360">
        <w:t>02</w:t>
      </w:r>
      <w:r>
        <w:t>-</w:t>
      </w:r>
      <w:r w:rsidR="00665360">
        <w:t>25</w:t>
      </w:r>
      <w:bookmarkStart w:id="0" w:name="_GoBack"/>
      <w:bookmarkEnd w:id="0"/>
      <w:r>
        <w:t>.</w:t>
      </w:r>
    </w:p>
    <w:sectPr w:rsidR="0019188E" w:rsidSect="003C66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D6" w:rsidRDefault="001B13D6" w:rsidP="00B73BC6">
      <w:pPr>
        <w:spacing w:after="0" w:line="240" w:lineRule="auto"/>
      </w:pPr>
      <w:r>
        <w:separator/>
      </w:r>
    </w:p>
  </w:endnote>
  <w:endnote w:type="continuationSeparator" w:id="0">
    <w:p w:rsidR="001B13D6" w:rsidRDefault="001B13D6" w:rsidP="00B7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D6" w:rsidRDefault="001B13D6" w:rsidP="00B73BC6">
      <w:pPr>
        <w:spacing w:after="0" w:line="240" w:lineRule="auto"/>
      </w:pPr>
      <w:r>
        <w:separator/>
      </w:r>
    </w:p>
  </w:footnote>
  <w:footnote w:type="continuationSeparator" w:id="0">
    <w:p w:rsidR="001B13D6" w:rsidRDefault="001B13D6" w:rsidP="00B7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83914"/>
      <w:docPartObj>
        <w:docPartGallery w:val="Page Numbers (Top of Page)"/>
        <w:docPartUnique/>
      </w:docPartObj>
    </w:sdtPr>
    <w:sdtEndPr/>
    <w:sdtContent>
      <w:p w:rsidR="003227CB" w:rsidRDefault="003227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60">
          <w:rPr>
            <w:noProof/>
          </w:rPr>
          <w:t>3</w:t>
        </w:r>
        <w:r>
          <w:fldChar w:fldCharType="end"/>
        </w:r>
      </w:p>
    </w:sdtContent>
  </w:sdt>
  <w:p w:rsidR="00B73BC6" w:rsidRDefault="005B3D6F">
    <w:pPr>
      <w:pStyle w:val="lfej"/>
    </w:pPr>
    <w:r>
      <w:t>Sziget Szabadidő Sportegyesület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71D"/>
    <w:multiLevelType w:val="hybridMultilevel"/>
    <w:tmpl w:val="7DFE1E9A"/>
    <w:lvl w:ilvl="0" w:tplc="7FF44ED4">
      <w:start w:val="9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DA03B47"/>
    <w:multiLevelType w:val="hybridMultilevel"/>
    <w:tmpl w:val="30D01ECE"/>
    <w:lvl w:ilvl="0" w:tplc="C6AC486E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BD0FEE"/>
    <w:multiLevelType w:val="hybridMultilevel"/>
    <w:tmpl w:val="359E645E"/>
    <w:lvl w:ilvl="0" w:tplc="A74A6FA2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0200C"/>
    <w:multiLevelType w:val="hybridMultilevel"/>
    <w:tmpl w:val="3C5ABEFA"/>
    <w:lvl w:ilvl="0" w:tplc="01BE197E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640DA"/>
    <w:multiLevelType w:val="hybridMultilevel"/>
    <w:tmpl w:val="C4EC1A10"/>
    <w:lvl w:ilvl="0" w:tplc="5F408C2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1049FB"/>
    <w:multiLevelType w:val="hybridMultilevel"/>
    <w:tmpl w:val="E464831C"/>
    <w:lvl w:ilvl="0" w:tplc="3EF4618E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739E"/>
    <w:multiLevelType w:val="hybridMultilevel"/>
    <w:tmpl w:val="567A028E"/>
    <w:lvl w:ilvl="0" w:tplc="AD9CAE62">
      <w:start w:val="6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A"/>
    <w:rsid w:val="0003235B"/>
    <w:rsid w:val="000745F0"/>
    <w:rsid w:val="00150765"/>
    <w:rsid w:val="0019188E"/>
    <w:rsid w:val="001A702D"/>
    <w:rsid w:val="001B13D6"/>
    <w:rsid w:val="00272023"/>
    <w:rsid w:val="002C28C8"/>
    <w:rsid w:val="00303CDC"/>
    <w:rsid w:val="003227CB"/>
    <w:rsid w:val="0035054F"/>
    <w:rsid w:val="003C6695"/>
    <w:rsid w:val="003E0FFC"/>
    <w:rsid w:val="004159D8"/>
    <w:rsid w:val="004B1A95"/>
    <w:rsid w:val="0050076B"/>
    <w:rsid w:val="005416BA"/>
    <w:rsid w:val="005B3D6F"/>
    <w:rsid w:val="005C63BA"/>
    <w:rsid w:val="005F0DBE"/>
    <w:rsid w:val="006008C5"/>
    <w:rsid w:val="0062757A"/>
    <w:rsid w:val="00665360"/>
    <w:rsid w:val="006C6C1D"/>
    <w:rsid w:val="00772153"/>
    <w:rsid w:val="00791A82"/>
    <w:rsid w:val="007E2808"/>
    <w:rsid w:val="0080506A"/>
    <w:rsid w:val="008425E3"/>
    <w:rsid w:val="008C5C92"/>
    <w:rsid w:val="008C7954"/>
    <w:rsid w:val="008F430D"/>
    <w:rsid w:val="00A1203D"/>
    <w:rsid w:val="00A16DC3"/>
    <w:rsid w:val="00B14C0A"/>
    <w:rsid w:val="00B73BC6"/>
    <w:rsid w:val="00BE3436"/>
    <w:rsid w:val="00C1760F"/>
    <w:rsid w:val="00C77EEE"/>
    <w:rsid w:val="00D953F5"/>
    <w:rsid w:val="00E104AF"/>
    <w:rsid w:val="00E10BCD"/>
    <w:rsid w:val="00E174A7"/>
    <w:rsid w:val="00E72144"/>
    <w:rsid w:val="00E7515B"/>
    <w:rsid w:val="00EF5E67"/>
    <w:rsid w:val="00F7584F"/>
    <w:rsid w:val="00F83B3E"/>
    <w:rsid w:val="00FA4B10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41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41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16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16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16B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9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03C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BC6"/>
  </w:style>
  <w:style w:type="paragraph" w:styleId="llb">
    <w:name w:val="footer"/>
    <w:basedOn w:val="Norml"/>
    <w:link w:val="llbChar"/>
    <w:uiPriority w:val="99"/>
    <w:unhideWhenUsed/>
    <w:rsid w:val="00B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BC6"/>
  </w:style>
  <w:style w:type="paragraph" w:styleId="Buborkszveg">
    <w:name w:val="Balloon Text"/>
    <w:basedOn w:val="Norml"/>
    <w:link w:val="BuborkszvegChar"/>
    <w:uiPriority w:val="99"/>
    <w:semiHidden/>
    <w:unhideWhenUsed/>
    <w:rsid w:val="002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41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41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16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16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16B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9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03C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BC6"/>
  </w:style>
  <w:style w:type="paragraph" w:styleId="llb">
    <w:name w:val="footer"/>
    <w:basedOn w:val="Norml"/>
    <w:link w:val="llbChar"/>
    <w:uiPriority w:val="99"/>
    <w:unhideWhenUsed/>
    <w:rsid w:val="00B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BC6"/>
  </w:style>
  <w:style w:type="paragraph" w:styleId="Buborkszveg">
    <w:name w:val="Balloon Text"/>
    <w:basedOn w:val="Norml"/>
    <w:link w:val="BuborkszvegChar"/>
    <w:uiPriority w:val="99"/>
    <w:semiHidden/>
    <w:unhideWhenUsed/>
    <w:rsid w:val="002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73B7-D47E-48EC-AA84-C1373710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SZÁMORG-Invest Kft.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Egyszerűsített beszámoló</dc:title>
  <dc:creator>kalmi</dc:creator>
  <cp:lastModifiedBy>kalmi</cp:lastModifiedBy>
  <cp:revision>8</cp:revision>
  <dcterms:created xsi:type="dcterms:W3CDTF">2015-09-26T10:17:00Z</dcterms:created>
  <dcterms:modified xsi:type="dcterms:W3CDTF">2017-02-25T09:06:00Z</dcterms:modified>
</cp:coreProperties>
</file>